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675"/>
        <w:gridCol w:w="4675"/>
      </w:tblGrid>
      <w:tr w:rsidR="00F20951" w:rsidRPr="00F20951" w:rsidTr="00F20951">
        <w:tc>
          <w:tcPr>
            <w:tcW w:w="4675" w:type="dxa"/>
            <w:tcMar>
              <w:top w:w="0" w:type="dxa"/>
              <w:left w:w="108" w:type="dxa"/>
              <w:bottom w:w="0" w:type="dxa"/>
              <w:right w:w="108" w:type="dxa"/>
            </w:tcMar>
            <w:vAlign w:val="center"/>
            <w:hideMark/>
          </w:tcPr>
          <w:p w:rsidR="00F20951" w:rsidRPr="00F20951" w:rsidRDefault="00F20951" w:rsidP="00F20951">
            <w:pPr>
              <w:spacing w:before="100" w:beforeAutospacing="1" w:after="240" w:line="240" w:lineRule="auto"/>
              <w:jc w:val="center"/>
              <w:rPr>
                <w:rFonts w:asciiTheme="majorHAnsi" w:eastAsia="Times New Roman" w:hAnsiTheme="majorHAnsi" w:cstheme="majorHAnsi"/>
                <w:szCs w:val="28"/>
                <w:lang w:eastAsia="vi-VN"/>
              </w:rPr>
            </w:pPr>
            <w:r w:rsidRPr="00F20951">
              <w:rPr>
                <w:rFonts w:asciiTheme="majorHAnsi" w:eastAsia="Times New Roman" w:hAnsiTheme="majorHAnsi" w:cstheme="majorHAnsi"/>
                <w:szCs w:val="28"/>
                <w:lang w:eastAsia="vi-VN"/>
              </w:rPr>
              <w:t>BAN CHẤP HÀNH TRUNG ƯƠNG</w:t>
            </w:r>
            <w:r w:rsidRPr="00F20951">
              <w:rPr>
                <w:rFonts w:asciiTheme="majorHAnsi" w:eastAsia="Times New Roman" w:hAnsiTheme="majorHAnsi" w:cstheme="majorHAnsi"/>
                <w:szCs w:val="28"/>
                <w:lang w:eastAsia="vi-VN"/>
              </w:rPr>
              <w:br/>
            </w:r>
            <w:r w:rsidRPr="00F20951">
              <w:rPr>
                <w:rFonts w:asciiTheme="majorHAnsi" w:eastAsia="Times New Roman" w:hAnsiTheme="majorHAnsi" w:cstheme="majorHAnsi"/>
                <w:b/>
                <w:bCs/>
                <w:szCs w:val="28"/>
                <w:lang w:eastAsia="vi-VN"/>
              </w:rPr>
              <w:t>BAN TỔ CHỨC</w:t>
            </w:r>
            <w:r w:rsidRPr="00F20951">
              <w:rPr>
                <w:rFonts w:asciiTheme="majorHAnsi" w:eastAsia="Times New Roman" w:hAnsiTheme="majorHAnsi" w:cstheme="majorHAnsi"/>
                <w:szCs w:val="28"/>
                <w:lang w:eastAsia="vi-VN"/>
              </w:rPr>
              <w:br/>
              <w:t>*</w:t>
            </w:r>
            <w:r w:rsidRPr="00F20951">
              <w:rPr>
                <w:rFonts w:asciiTheme="majorHAnsi" w:eastAsia="Times New Roman" w:hAnsiTheme="majorHAnsi" w:cstheme="majorHAnsi"/>
                <w:szCs w:val="28"/>
                <w:lang w:eastAsia="vi-VN"/>
              </w:rPr>
              <w:br/>
              <w:t>Số 08-HD/BTCTW</w:t>
            </w:r>
            <w:bookmarkStart w:id="0" w:name="_GoBack"/>
            <w:bookmarkEnd w:id="0"/>
          </w:p>
          <w:p w:rsidR="00F20951" w:rsidRPr="00F20951" w:rsidRDefault="00F20951" w:rsidP="00F20951">
            <w:pPr>
              <w:spacing w:before="100" w:beforeAutospacing="1" w:after="100" w:afterAutospacing="1" w:line="240" w:lineRule="auto"/>
              <w:rPr>
                <w:rFonts w:asciiTheme="majorHAnsi" w:eastAsia="Times New Roman" w:hAnsiTheme="majorHAnsi" w:cstheme="majorHAnsi"/>
                <w:szCs w:val="28"/>
                <w:lang w:eastAsia="vi-VN"/>
              </w:rPr>
            </w:pPr>
          </w:p>
        </w:tc>
        <w:tc>
          <w:tcPr>
            <w:tcW w:w="4675" w:type="dxa"/>
            <w:tcMar>
              <w:top w:w="0" w:type="dxa"/>
              <w:left w:w="108" w:type="dxa"/>
              <w:bottom w:w="0" w:type="dxa"/>
              <w:right w:w="108" w:type="dxa"/>
            </w:tcMar>
            <w:hideMark/>
          </w:tcPr>
          <w:p w:rsidR="00F20951" w:rsidRPr="00F20951" w:rsidRDefault="00F20951" w:rsidP="00F20951">
            <w:pPr>
              <w:spacing w:before="100" w:beforeAutospacing="1" w:after="100" w:afterAutospacing="1" w:line="240" w:lineRule="auto"/>
              <w:jc w:val="center"/>
              <w:rPr>
                <w:rFonts w:asciiTheme="majorHAnsi" w:eastAsia="Times New Roman" w:hAnsiTheme="majorHAnsi" w:cstheme="majorHAnsi"/>
                <w:szCs w:val="28"/>
                <w:lang w:eastAsia="vi-VN"/>
              </w:rPr>
            </w:pPr>
            <w:r w:rsidRPr="00F20951">
              <w:rPr>
                <w:rFonts w:asciiTheme="majorHAnsi" w:eastAsia="Times New Roman" w:hAnsiTheme="majorHAnsi" w:cstheme="majorHAnsi"/>
                <w:b/>
                <w:bCs/>
                <w:szCs w:val="28"/>
                <w:u w:val="single"/>
                <w:lang w:eastAsia="vi-VN"/>
              </w:rPr>
              <w:t>ĐẢNG CỘNG SẢN VIỆT NAM</w:t>
            </w:r>
          </w:p>
          <w:p w:rsidR="00F20951" w:rsidRPr="00F20951" w:rsidRDefault="00F20951" w:rsidP="00F20951">
            <w:pPr>
              <w:spacing w:line="240" w:lineRule="auto"/>
              <w:jc w:val="center"/>
              <w:rPr>
                <w:rFonts w:asciiTheme="majorHAnsi" w:eastAsia="Times New Roman" w:hAnsiTheme="majorHAnsi" w:cstheme="majorHAnsi"/>
                <w:szCs w:val="28"/>
                <w:lang w:eastAsia="vi-VN"/>
              </w:rPr>
            </w:pPr>
            <w:r w:rsidRPr="00F20951">
              <w:rPr>
                <w:rFonts w:asciiTheme="majorHAnsi" w:eastAsia="Times New Roman" w:hAnsiTheme="majorHAnsi" w:cstheme="majorHAnsi"/>
                <w:i/>
                <w:iCs/>
                <w:szCs w:val="28"/>
                <w:lang w:eastAsia="vi-VN"/>
              </w:rPr>
              <w:t>Hà Nội, ngày 27 tháng 9 năm 2021</w:t>
            </w:r>
          </w:p>
          <w:p w:rsidR="00F20951" w:rsidRPr="00F20951" w:rsidRDefault="00F20951" w:rsidP="00F20951">
            <w:pPr>
              <w:spacing w:line="240" w:lineRule="auto"/>
              <w:jc w:val="center"/>
              <w:rPr>
                <w:rFonts w:asciiTheme="majorHAnsi" w:eastAsia="Times New Roman" w:hAnsiTheme="majorHAnsi" w:cstheme="majorHAnsi"/>
                <w:szCs w:val="28"/>
                <w:lang w:eastAsia="vi-VN"/>
              </w:rPr>
            </w:pPr>
          </w:p>
          <w:p w:rsidR="00F20951" w:rsidRPr="00F20951" w:rsidRDefault="00F20951" w:rsidP="00F20951">
            <w:pPr>
              <w:spacing w:before="100" w:beforeAutospacing="1" w:after="100" w:afterAutospacing="1" w:line="240" w:lineRule="auto"/>
              <w:rPr>
                <w:rFonts w:asciiTheme="majorHAnsi" w:eastAsia="Times New Roman" w:hAnsiTheme="majorHAnsi" w:cstheme="majorHAnsi"/>
                <w:szCs w:val="28"/>
                <w:lang w:eastAsia="vi-VN"/>
              </w:rPr>
            </w:pPr>
          </w:p>
        </w:tc>
      </w:tr>
    </w:tbl>
    <w:p w:rsidR="00F20951" w:rsidRPr="00F20951" w:rsidRDefault="00F20951" w:rsidP="00F20951">
      <w:pPr>
        <w:spacing w:line="240" w:lineRule="auto"/>
        <w:rPr>
          <w:rFonts w:asciiTheme="majorHAnsi" w:eastAsia="Times New Roman" w:hAnsiTheme="majorHAnsi" w:cstheme="majorHAnsi"/>
          <w:color w:val="000711"/>
          <w:szCs w:val="28"/>
          <w:lang w:eastAsia="vi-VN"/>
        </w:rPr>
      </w:pPr>
    </w:p>
    <w:p w:rsidR="00F20951" w:rsidRPr="00F20951" w:rsidRDefault="00F20951" w:rsidP="00F20951">
      <w:pPr>
        <w:spacing w:before="120" w:after="120" w:line="360" w:lineRule="atLeast"/>
        <w:jc w:val="center"/>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HƯỚNG DẪN</w:t>
      </w:r>
    </w:p>
    <w:p w:rsidR="00F20951" w:rsidRPr="00F20951" w:rsidRDefault="00F20951" w:rsidP="00F20951">
      <w:pPr>
        <w:spacing w:before="120" w:after="120" w:line="360" w:lineRule="atLeast"/>
        <w:jc w:val="center"/>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Kết nạp chủ doanh nghiệp tư nhân vào Đảng</w:t>
      </w:r>
    </w:p>
    <w:p w:rsidR="00F20951" w:rsidRPr="00F20951" w:rsidRDefault="00F20951" w:rsidP="00F20951">
      <w:pPr>
        <w:spacing w:before="120" w:after="120" w:line="360" w:lineRule="atLeast"/>
        <w:jc w:val="center"/>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Căn cứ Điều lệ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Căn cứ Nghị quyết số 10-NQ/TW, ngày 03/6/2017 Hội nghị lần thứ năm Ban Chấp hành Trung ương Đảng (khóa XII) về phát triển kinh tế tư nhân trở thành một động lực quan trọng của nền kinh tế thị trường định hướng xã hội chủ nghĩa;</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Căn cứ ý kiến của Ban Bí thư Trung ương Đảng về việc giao Ban Tổ chức Trung ương ban hành Hướng dẫn kết nạp chủ doanh nghiệp tư nhân vào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Ban Tổ chức Trung ương hướng dẫn một số nội dung về kết nạp chủ doanh nghiệp tư nhân vào Đảng như sau:</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I. MỤC ĐÍCH, YÊU CẦU</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1.</w:t>
      </w:r>
      <w:r w:rsidRPr="00F20951">
        <w:rPr>
          <w:rFonts w:asciiTheme="majorHAnsi" w:eastAsia="Times New Roman" w:hAnsiTheme="majorHAnsi" w:cstheme="majorHAnsi"/>
          <w:color w:val="000711"/>
          <w:szCs w:val="28"/>
          <w:lang w:eastAsia="vi-VN"/>
        </w:rPr>
        <w:t> Tăng cường sự lãnh đạo của Đảng đối với doanh nghiệp tư nhân, tạo điều kiện thuận lợi để doanh nghiệp tư nhân phát triển lành mạnh, hiệu quả, bền vững theo quy định của pháp luật; khẳng định kinh tế tư nhân là động lực quan trọng của nền kinh tế thị trường định hướng xã hội chủ nghĩa.</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2.</w:t>
      </w:r>
      <w:r w:rsidRPr="00F20951">
        <w:rPr>
          <w:rFonts w:asciiTheme="majorHAnsi" w:eastAsia="Times New Roman" w:hAnsiTheme="majorHAnsi" w:cstheme="majorHAnsi"/>
          <w:color w:val="000711"/>
          <w:szCs w:val="28"/>
          <w:lang w:eastAsia="vi-VN"/>
        </w:rPr>
        <w:t> Thực hiện chủ trương kết nạp chủ doanh nghiệp tư nhân vào Đảng nhằm xây dựng, củng cố, phát triển đội ngũ đảng viên gắn với nâng cao năng lực lãnh đạo, sức chiến đấu của tổ chức đảng trong doanh nghiệp tư nhân.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3.</w:t>
      </w:r>
      <w:r w:rsidRPr="00F20951">
        <w:rPr>
          <w:rFonts w:asciiTheme="majorHAnsi" w:eastAsia="Times New Roman" w:hAnsiTheme="majorHAnsi" w:cstheme="majorHAnsi"/>
          <w:color w:val="000711"/>
          <w:szCs w:val="28"/>
          <w:lang w:eastAsia="vi-VN"/>
        </w:rPr>
        <w:t> Coi trọng chất lượng, bảo đảm chặt chẽ về tiêu chuẩn, điều kiện, nguyên tắc, thủ tục, thẩm quyền theo quy định của Điều lệ Đảng và các văn bản có liên quan của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II. PHẠM VI, ĐỐI TƯỢNG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1. Phạm vi</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Thực hiện thống nhất trong toàn Đảng về chủ trương kết nạp chủ doanh nghiệp tư nhân vào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2. Đối tượng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xml:space="preserve">Cá nhân sở hữu toàn bộ hoặc sở hữu phần vốn, tài sản chi phối, đồng thời giữ một trong các chức danh là giám đốc, tổng giám đốc, chủ tịch hội đồng thành viên, </w:t>
      </w:r>
      <w:r w:rsidRPr="00F20951">
        <w:rPr>
          <w:rFonts w:asciiTheme="majorHAnsi" w:eastAsia="Times New Roman" w:hAnsiTheme="majorHAnsi" w:cstheme="majorHAnsi"/>
          <w:color w:val="000711"/>
          <w:szCs w:val="28"/>
          <w:lang w:eastAsia="vi-VN"/>
        </w:rPr>
        <w:lastRenderedPageBreak/>
        <w:t>chủ tịch công ty, chủ tịch hội đồng quản trị, thành viên hợp danh trong các doanh nghiệp: doanh nghiệp tư nhân, công ty trách nhiệm hữu hạn, công ty hợp danh, công ty cổ phần </w:t>
      </w:r>
      <w:r w:rsidRPr="00F20951">
        <w:rPr>
          <w:rFonts w:asciiTheme="majorHAnsi" w:eastAsia="Times New Roman" w:hAnsiTheme="majorHAnsi" w:cstheme="majorHAnsi"/>
          <w:i/>
          <w:iCs/>
          <w:color w:val="000711"/>
          <w:szCs w:val="28"/>
          <w:lang w:eastAsia="vi-VN"/>
        </w:rPr>
        <w:t>(không phân biệt quy mô doanh nghiệp)</w:t>
      </w:r>
      <w:r w:rsidRPr="00F20951">
        <w:rPr>
          <w:rFonts w:asciiTheme="majorHAnsi" w:eastAsia="Times New Roman" w:hAnsiTheme="majorHAnsi" w:cstheme="majorHAnsi"/>
          <w:color w:val="000711"/>
          <w:szCs w:val="28"/>
          <w:lang w:eastAsia="vi-VN"/>
        </w:rPr>
        <w:t>.</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III. TIÊU CHUẨN, ĐIỀU KIỆN; THỦ TỤC, THẨM QUYỀN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1. Tiêu chuẩn, điều kiện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Chủ doanh nghiệp tư nhân được xem xét kết nạp vào Đảng phải bảo đảm tiêu chuẩn, điều kiện theo quy định của Điều lệ Đảng, các văn bản có liên quan của Đảng và đáp ứng các tiêu chuẩn, điều kiện sau:</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1.1. </w:t>
      </w:r>
      <w:r w:rsidRPr="00F20951">
        <w:rPr>
          <w:rFonts w:asciiTheme="majorHAnsi" w:eastAsia="Times New Roman" w:hAnsiTheme="majorHAnsi" w:cstheme="majorHAnsi"/>
          <w:i/>
          <w:iCs/>
          <w:color w:val="000711"/>
          <w:szCs w:val="28"/>
          <w:lang w:eastAsia="vi-VN"/>
        </w:rPr>
        <w:t>Đối với cá nhân chủ doanh nghiệp</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Có nguyện vọng và động cơ phấn đấu vào Đảng đúng đắn.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Là người có uy tín trong doanh nghiệp và tại nơi cư trú; gương mẫu chấp hành chủ trương, đường lối của Đảng, chính sách, pháp luật của Nhà nước, thực hiện đầy đủ nghĩa vụ đối với Nhà nước.</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Tạo điều kiện thuận lợi cho tổ chức đảng, tổ chức chính trị - xã hội trong doanh nghiệp được thành lập và hoạt động theo quy định của pháp luật và điều lệ của mỗi tổ chức; quan tâm chăm lo lợi ích hợp pháp, chính đáng của người lao động.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1.2. </w:t>
      </w:r>
      <w:r w:rsidRPr="00F20951">
        <w:rPr>
          <w:rFonts w:asciiTheme="majorHAnsi" w:eastAsia="Times New Roman" w:hAnsiTheme="majorHAnsi" w:cstheme="majorHAnsi"/>
          <w:i/>
          <w:iCs/>
          <w:color w:val="000711"/>
          <w:szCs w:val="28"/>
          <w:lang w:eastAsia="vi-VN"/>
        </w:rPr>
        <w:t>Đối với doanh nghiệp</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Thực hiện tốt chủ trương, đường lối của Đảng, chính sách, pháp luật của Nhà nước.</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Hoàn thành nghĩa vụ đối với Nhà nước theo quy định của pháp luật.</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 Tích cực tham gia các phong trào thi đua yêu nước, hoạt động xã hội.</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2. Thủ tục, thẩm quyền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2.1. </w:t>
      </w:r>
      <w:r w:rsidRPr="00F20951">
        <w:rPr>
          <w:rFonts w:asciiTheme="majorHAnsi" w:eastAsia="Times New Roman" w:hAnsiTheme="majorHAnsi" w:cstheme="majorHAnsi"/>
          <w:i/>
          <w:iCs/>
          <w:color w:val="000711"/>
          <w:szCs w:val="28"/>
          <w:lang w:eastAsia="vi-VN"/>
        </w:rPr>
        <w:t>Thủ tục</w:t>
      </w:r>
      <w:r w:rsidRPr="00F20951">
        <w:rPr>
          <w:rFonts w:asciiTheme="majorHAnsi" w:eastAsia="Times New Roman" w:hAnsiTheme="majorHAnsi" w:cstheme="majorHAnsi"/>
          <w:color w:val="000711"/>
          <w:szCs w:val="28"/>
          <w:lang w:eastAsia="vi-VN"/>
        </w:rPr>
        <w:t>: Thủ tục kết nạp và kết nạp lại vào Đảng đối với chủ doanh nghiệp tư nhân được thực hiện theo quy định của Điều lệ Đảng và các văn bản hiện hành của Trung ương.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2.2. </w:t>
      </w:r>
      <w:r w:rsidRPr="00F20951">
        <w:rPr>
          <w:rFonts w:asciiTheme="majorHAnsi" w:eastAsia="Times New Roman" w:hAnsiTheme="majorHAnsi" w:cstheme="majorHAnsi"/>
          <w:i/>
          <w:iCs/>
          <w:color w:val="000711"/>
          <w:szCs w:val="28"/>
          <w:lang w:eastAsia="vi-VN"/>
        </w:rPr>
        <w:t>Thẩm quyền</w:t>
      </w:r>
      <w:r w:rsidRPr="00F20951">
        <w:rPr>
          <w:rFonts w:asciiTheme="majorHAnsi" w:eastAsia="Times New Roman" w:hAnsiTheme="majorHAnsi" w:cstheme="majorHAnsi"/>
          <w:color w:val="000711"/>
          <w:szCs w:val="28"/>
          <w:lang w:eastAsia="vi-VN"/>
        </w:rPr>
        <w:t>: Trên cơ sở đề nghị của cấp ủy cơ sở (nơi doanh nghiệp có trụ sở chính), ban thường vụ huyện ủy và tương đương xem xét, quyết định kết nạp chủ doanh nghiệp tư nhân vào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Đối với doanh nghiệp có tổ chức đảng trực thuộc đảng bộ khối trực thuộc tỉnh ủy, thành ủy, ban thường vụ đảng ủy khối xem xét, quyết định kết nạp chủ doanh nghiệp tư nhân vào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IV. TỔ CHỨC THỰC HIỆN</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1.</w:t>
      </w:r>
      <w:r w:rsidRPr="00F20951">
        <w:rPr>
          <w:rFonts w:asciiTheme="majorHAnsi" w:eastAsia="Times New Roman" w:hAnsiTheme="majorHAnsi" w:cstheme="majorHAnsi"/>
          <w:color w:val="000711"/>
          <w:szCs w:val="28"/>
          <w:lang w:eastAsia="vi-VN"/>
        </w:rPr>
        <w:t xml:space="preserve"> Các tỉnh uỷ, thành uỷ trực thuộc Trung ương tăng cường lãnh đạo, chỉ đạo công tác tuyên truyền, phổ biến, quán triệt Hướng dẫn đến các cấp uỷ, tổ chức đảng </w:t>
      </w:r>
      <w:r w:rsidRPr="00F20951">
        <w:rPr>
          <w:rFonts w:asciiTheme="majorHAnsi" w:eastAsia="Times New Roman" w:hAnsiTheme="majorHAnsi" w:cstheme="majorHAnsi"/>
          <w:color w:val="000711"/>
          <w:szCs w:val="28"/>
          <w:lang w:eastAsia="vi-VN"/>
        </w:rPr>
        <w:lastRenderedPageBreak/>
        <w:t>trực thuộc nhằm thống nhất về nhận thức, trách nhiệm, mục đích, yêu cầu của việc kết nạp chủ doanh nghiệp tư nhân vào Đảng; cụ thể hóa Hướng dẫn này phù hợp với thực tiễn của địa phương để triển khai thực hiện có hiệu quả. Định kỳ hằng năm, báo cáo kết quả thực hiện về Ban Tổ chức Trung ương.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2.</w:t>
      </w:r>
      <w:r w:rsidRPr="00F20951">
        <w:rPr>
          <w:rFonts w:asciiTheme="majorHAnsi" w:eastAsia="Times New Roman" w:hAnsiTheme="majorHAnsi" w:cstheme="majorHAnsi"/>
          <w:color w:val="000711"/>
          <w:szCs w:val="28"/>
          <w:lang w:eastAsia="vi-VN"/>
        </w:rPr>
        <w:t> Ban thường vụ cấp uỷ cấp trên trực tiếp cơ sở tăng cường lãnh đạo, chỉ đạo, hướng dẫn, kiểm tra, giám sát cấp uỷ trực thuộc trong việc tạo nguồn và thực hiện quy trình, thủ tục theo quy định về việc kết nạp chủ doanh nghiệp tư nhân vào Đảng.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b/>
          <w:bCs/>
          <w:color w:val="000711"/>
          <w:szCs w:val="28"/>
          <w:lang w:eastAsia="vi-VN"/>
        </w:rPr>
        <w:t>3.</w:t>
      </w:r>
      <w:r w:rsidRPr="00F20951">
        <w:rPr>
          <w:rFonts w:asciiTheme="majorHAnsi" w:eastAsia="Times New Roman" w:hAnsiTheme="majorHAnsi" w:cstheme="majorHAnsi"/>
          <w:color w:val="000711"/>
          <w:szCs w:val="28"/>
          <w:lang w:eastAsia="vi-VN"/>
        </w:rPr>
        <w:t> Những nơi chưa có tổ chức đảng, việc kết nạp chủ doanh nghiệp tư nhân vào Đảng thực hiện theo Quy định thi hành Điều lệ Đảng của Ban Chấp hành Trung ương.</w:t>
      </w:r>
    </w:p>
    <w:p w:rsidR="00F20951" w:rsidRPr="00F20951" w:rsidRDefault="00F20951" w:rsidP="00F20951">
      <w:pPr>
        <w:spacing w:before="120" w:after="120" w:line="360" w:lineRule="atLeast"/>
        <w:ind w:firstLine="720"/>
        <w:jc w:val="both"/>
        <w:rPr>
          <w:rFonts w:asciiTheme="majorHAnsi" w:eastAsia="Times New Roman" w:hAnsiTheme="majorHAnsi" w:cstheme="majorHAnsi"/>
          <w:color w:val="000711"/>
          <w:szCs w:val="28"/>
          <w:lang w:eastAsia="vi-VN"/>
        </w:rPr>
      </w:pPr>
      <w:r w:rsidRPr="00F20951">
        <w:rPr>
          <w:rFonts w:asciiTheme="majorHAnsi" w:eastAsia="Times New Roman" w:hAnsiTheme="majorHAnsi" w:cstheme="majorHAnsi"/>
          <w:color w:val="000711"/>
          <w:szCs w:val="28"/>
          <w:lang w:eastAsia="vi-VN"/>
        </w:rPr>
        <w:t>Hướng dẫn này thay thế Hướng dẫn số 17-HD/BTCTW, ngày 30 tháng 01 năm 2013 của Ban Tổ chức Trung ương về thực hiện thí điểm việc kết nạp những người là chủ doanh nghiệp tư nhân đủ tiêu chuẩn vào Đảng; được phổ biến đến chi bộ, đảng viên và có hiệu lực từ ngày ký./.</w:t>
      </w:r>
    </w:p>
    <w:tbl>
      <w:tblPr>
        <w:tblW w:w="10490" w:type="dxa"/>
        <w:jc w:val="center"/>
        <w:tblCellMar>
          <w:left w:w="0" w:type="dxa"/>
          <w:right w:w="0" w:type="dxa"/>
        </w:tblCellMar>
        <w:tblLook w:val="04A0" w:firstRow="1" w:lastRow="0" w:firstColumn="1" w:lastColumn="0" w:noHBand="0" w:noVBand="1"/>
      </w:tblPr>
      <w:tblGrid>
        <w:gridCol w:w="6379"/>
        <w:gridCol w:w="4111"/>
      </w:tblGrid>
      <w:tr w:rsidR="00F20951" w:rsidRPr="00F20951" w:rsidTr="00F20951">
        <w:trPr>
          <w:jc w:val="center"/>
        </w:trPr>
        <w:tc>
          <w:tcPr>
            <w:tcW w:w="6379" w:type="dxa"/>
            <w:tcMar>
              <w:top w:w="0" w:type="dxa"/>
              <w:left w:w="108" w:type="dxa"/>
              <w:bottom w:w="0" w:type="dxa"/>
              <w:right w:w="108" w:type="dxa"/>
            </w:tcMar>
            <w:hideMark/>
          </w:tcPr>
          <w:p w:rsidR="00F20951" w:rsidRPr="00F20951" w:rsidRDefault="00F20951" w:rsidP="00F20951">
            <w:pPr>
              <w:spacing w:before="100" w:beforeAutospacing="1" w:after="100" w:afterAutospacing="1" w:line="240" w:lineRule="auto"/>
              <w:rPr>
                <w:rFonts w:asciiTheme="majorHAnsi" w:eastAsia="Times New Roman" w:hAnsiTheme="majorHAnsi" w:cstheme="majorHAnsi"/>
                <w:szCs w:val="28"/>
                <w:lang w:eastAsia="vi-VN"/>
              </w:rPr>
            </w:pPr>
            <w:r w:rsidRPr="00F20951">
              <w:rPr>
                <w:rFonts w:asciiTheme="majorHAnsi" w:eastAsia="Times New Roman" w:hAnsiTheme="majorHAnsi" w:cstheme="majorHAnsi"/>
                <w:b/>
                <w:bCs/>
                <w:szCs w:val="28"/>
                <w:u w:val="single"/>
                <w:lang w:eastAsia="vi-VN"/>
              </w:rPr>
              <w:t>Nơi nhận:</w:t>
            </w:r>
            <w:r w:rsidRPr="00F20951">
              <w:rPr>
                <w:rFonts w:asciiTheme="majorHAnsi" w:eastAsia="Times New Roman" w:hAnsiTheme="majorHAnsi" w:cstheme="majorHAnsi"/>
                <w:b/>
                <w:bCs/>
                <w:szCs w:val="28"/>
                <w:u w:val="single"/>
                <w:lang w:eastAsia="vi-VN"/>
              </w:rPr>
              <w:br/>
            </w:r>
            <w:r w:rsidRPr="00F20951">
              <w:rPr>
                <w:rFonts w:asciiTheme="majorHAnsi" w:eastAsia="Times New Roman" w:hAnsiTheme="majorHAnsi" w:cstheme="majorHAnsi"/>
                <w:szCs w:val="28"/>
                <w:lang w:eastAsia="vi-VN"/>
              </w:rPr>
              <w:t>- Bộ Chính trị, Ban Bí thư (để báo cáo),</w:t>
            </w:r>
            <w:r w:rsidRPr="00F20951">
              <w:rPr>
                <w:rFonts w:asciiTheme="majorHAnsi" w:eastAsia="Times New Roman" w:hAnsiTheme="majorHAnsi" w:cstheme="majorHAnsi"/>
                <w:szCs w:val="28"/>
                <w:lang w:eastAsia="vi-VN"/>
              </w:rPr>
              <w:br/>
              <w:t>- Các tỉnh uỷ, thành uỷ trực thuộc Trung ương,</w:t>
            </w:r>
            <w:r w:rsidRPr="00F20951">
              <w:rPr>
                <w:rFonts w:asciiTheme="majorHAnsi" w:eastAsia="Times New Roman" w:hAnsiTheme="majorHAnsi" w:cstheme="majorHAnsi"/>
                <w:szCs w:val="28"/>
                <w:lang w:eastAsia="vi-VN"/>
              </w:rPr>
              <w:br/>
              <w:t>- Các ban đảng, ban cán sự đảng, đảng đoàn, đảng uỷ trực thuộc Trung ương,</w:t>
            </w:r>
            <w:r w:rsidRPr="00F20951">
              <w:rPr>
                <w:rFonts w:asciiTheme="majorHAnsi" w:eastAsia="Times New Roman" w:hAnsiTheme="majorHAnsi" w:cstheme="majorHAnsi"/>
                <w:szCs w:val="28"/>
                <w:lang w:eastAsia="vi-VN"/>
              </w:rPr>
              <w:br/>
              <w:t>- Đồng chí Trưởng Ban (để báo cáo),</w:t>
            </w:r>
            <w:r w:rsidRPr="00F20951">
              <w:rPr>
                <w:rFonts w:asciiTheme="majorHAnsi" w:eastAsia="Times New Roman" w:hAnsiTheme="majorHAnsi" w:cstheme="majorHAnsi"/>
                <w:szCs w:val="28"/>
                <w:lang w:eastAsia="vi-VN"/>
              </w:rPr>
              <w:br/>
              <w:t>- Các đồng chí Phó Trưởng Ban Tổ chức TW,</w:t>
            </w:r>
            <w:r w:rsidRPr="00F20951">
              <w:rPr>
                <w:rFonts w:asciiTheme="majorHAnsi" w:eastAsia="Times New Roman" w:hAnsiTheme="majorHAnsi" w:cstheme="majorHAnsi"/>
                <w:szCs w:val="28"/>
                <w:lang w:eastAsia="vi-VN"/>
              </w:rPr>
              <w:br/>
              <w:t>- Các Cục, Vụ, đơn vị trong Ban,</w:t>
            </w:r>
            <w:r w:rsidRPr="00F20951">
              <w:rPr>
                <w:rFonts w:asciiTheme="majorHAnsi" w:eastAsia="Times New Roman" w:hAnsiTheme="majorHAnsi" w:cstheme="majorHAnsi"/>
                <w:szCs w:val="28"/>
                <w:lang w:eastAsia="vi-VN"/>
              </w:rPr>
              <w:br/>
              <w:t>- Lưu Văn phòng, Vụ CSĐ, ĐV.</w:t>
            </w:r>
          </w:p>
        </w:tc>
        <w:tc>
          <w:tcPr>
            <w:tcW w:w="4111" w:type="dxa"/>
            <w:tcMar>
              <w:top w:w="0" w:type="dxa"/>
              <w:left w:w="108" w:type="dxa"/>
              <w:bottom w:w="0" w:type="dxa"/>
              <w:right w:w="108" w:type="dxa"/>
            </w:tcMar>
            <w:hideMark/>
          </w:tcPr>
          <w:p w:rsidR="00F20951" w:rsidRPr="00F20951" w:rsidRDefault="00F20951" w:rsidP="00F20951">
            <w:pPr>
              <w:spacing w:line="240" w:lineRule="auto"/>
              <w:jc w:val="center"/>
              <w:rPr>
                <w:rFonts w:asciiTheme="majorHAnsi" w:eastAsia="Times New Roman" w:hAnsiTheme="majorHAnsi" w:cstheme="majorHAnsi"/>
                <w:szCs w:val="28"/>
                <w:lang w:eastAsia="vi-VN"/>
              </w:rPr>
            </w:pPr>
            <w:r w:rsidRPr="00F20951">
              <w:rPr>
                <w:rFonts w:asciiTheme="majorHAnsi" w:eastAsia="Times New Roman" w:hAnsiTheme="majorHAnsi" w:cstheme="majorHAnsi"/>
                <w:b/>
                <w:bCs/>
                <w:szCs w:val="28"/>
                <w:lang w:eastAsia="vi-VN"/>
              </w:rPr>
              <w:t>K/T TRƯỞNG BAN</w:t>
            </w:r>
          </w:p>
          <w:p w:rsidR="00F20951" w:rsidRPr="00F20951" w:rsidRDefault="00F20951" w:rsidP="00F20951">
            <w:pPr>
              <w:spacing w:after="240" w:line="240" w:lineRule="auto"/>
              <w:jc w:val="center"/>
              <w:rPr>
                <w:rFonts w:asciiTheme="majorHAnsi" w:eastAsia="Times New Roman" w:hAnsiTheme="majorHAnsi" w:cstheme="majorHAnsi"/>
                <w:szCs w:val="28"/>
                <w:lang w:eastAsia="vi-VN"/>
              </w:rPr>
            </w:pPr>
            <w:r w:rsidRPr="00F20951">
              <w:rPr>
                <w:rFonts w:asciiTheme="majorHAnsi" w:eastAsia="Times New Roman" w:hAnsiTheme="majorHAnsi" w:cstheme="majorHAnsi"/>
                <w:szCs w:val="28"/>
                <w:lang w:eastAsia="vi-VN"/>
              </w:rPr>
              <w:t>PHÓ TRƯỞNG BAN</w:t>
            </w:r>
            <w:r w:rsidRPr="00F20951">
              <w:rPr>
                <w:rFonts w:asciiTheme="majorHAnsi" w:eastAsia="Times New Roman" w:hAnsiTheme="majorHAnsi" w:cstheme="majorHAnsi"/>
                <w:szCs w:val="28"/>
                <w:lang w:eastAsia="vi-VN"/>
              </w:rPr>
              <w:br/>
            </w:r>
            <w:r w:rsidRPr="00F20951">
              <w:rPr>
                <w:rFonts w:asciiTheme="majorHAnsi" w:eastAsia="Times New Roman" w:hAnsiTheme="majorHAnsi" w:cstheme="majorHAnsi"/>
                <w:szCs w:val="28"/>
                <w:lang w:eastAsia="vi-VN"/>
              </w:rPr>
              <w:br/>
            </w:r>
            <w:r w:rsidRPr="00F20951">
              <w:rPr>
                <w:rFonts w:asciiTheme="majorHAnsi" w:eastAsia="Times New Roman" w:hAnsiTheme="majorHAnsi" w:cstheme="majorHAnsi"/>
                <w:szCs w:val="28"/>
                <w:lang w:eastAsia="vi-VN"/>
              </w:rPr>
              <w:br/>
            </w:r>
            <w:r w:rsidRPr="00F20951">
              <w:rPr>
                <w:rFonts w:asciiTheme="majorHAnsi" w:eastAsia="Times New Roman" w:hAnsiTheme="majorHAnsi" w:cstheme="majorHAnsi"/>
                <w:b/>
                <w:bCs/>
                <w:i/>
                <w:iCs/>
                <w:szCs w:val="28"/>
                <w:lang w:eastAsia="vi-VN"/>
              </w:rPr>
              <w:t>(đã ký)</w:t>
            </w:r>
          </w:p>
          <w:p w:rsidR="00F20951" w:rsidRPr="00F20951" w:rsidRDefault="00F20951" w:rsidP="00F20951">
            <w:pPr>
              <w:spacing w:line="240" w:lineRule="auto"/>
              <w:jc w:val="center"/>
              <w:rPr>
                <w:rFonts w:asciiTheme="majorHAnsi" w:eastAsia="Times New Roman" w:hAnsiTheme="majorHAnsi" w:cstheme="majorHAnsi"/>
                <w:szCs w:val="28"/>
                <w:lang w:eastAsia="vi-VN"/>
              </w:rPr>
            </w:pPr>
          </w:p>
          <w:p w:rsidR="00F20951" w:rsidRPr="00F20951" w:rsidRDefault="00F20951" w:rsidP="00F20951">
            <w:pPr>
              <w:spacing w:line="240" w:lineRule="auto"/>
              <w:jc w:val="center"/>
              <w:rPr>
                <w:rFonts w:asciiTheme="majorHAnsi" w:eastAsia="Times New Roman" w:hAnsiTheme="majorHAnsi" w:cstheme="majorHAnsi"/>
                <w:b/>
                <w:bCs/>
                <w:szCs w:val="28"/>
                <w:lang w:eastAsia="vi-VN"/>
              </w:rPr>
            </w:pPr>
            <w:r w:rsidRPr="00F20951">
              <w:rPr>
                <w:rFonts w:asciiTheme="majorHAnsi" w:eastAsia="Times New Roman" w:hAnsiTheme="majorHAnsi" w:cstheme="majorHAnsi"/>
                <w:b/>
                <w:bCs/>
                <w:szCs w:val="28"/>
                <w:lang w:eastAsia="vi-VN"/>
              </w:rPr>
              <w:t>Hoàng Đăng Quang</w:t>
            </w:r>
          </w:p>
        </w:tc>
      </w:tr>
    </w:tbl>
    <w:p w:rsidR="006202BF" w:rsidRPr="00F20951" w:rsidRDefault="006202BF">
      <w:pPr>
        <w:rPr>
          <w:rFonts w:asciiTheme="majorHAnsi" w:hAnsiTheme="majorHAnsi" w:cstheme="majorHAnsi"/>
          <w:szCs w:val="28"/>
        </w:rPr>
      </w:pPr>
    </w:p>
    <w:sectPr w:rsidR="006202BF" w:rsidRPr="00F20951" w:rsidSect="00952E10">
      <w:type w:val="continuous"/>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51"/>
    <w:rsid w:val="001539B1"/>
    <w:rsid w:val="001A42FD"/>
    <w:rsid w:val="002B4AE6"/>
    <w:rsid w:val="003F6C11"/>
    <w:rsid w:val="00490F35"/>
    <w:rsid w:val="005301C3"/>
    <w:rsid w:val="006202BF"/>
    <w:rsid w:val="007F2CD3"/>
    <w:rsid w:val="00847F9E"/>
    <w:rsid w:val="008F10A2"/>
    <w:rsid w:val="00952E10"/>
    <w:rsid w:val="00CD3E91"/>
    <w:rsid w:val="00DC46C1"/>
    <w:rsid w:val="00F209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9705E-5E67-4368-A18F-7169025E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51"/>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2847">
      <w:bodyDiv w:val="1"/>
      <w:marLeft w:val="0"/>
      <w:marRight w:val="0"/>
      <w:marTop w:val="0"/>
      <w:marBottom w:val="0"/>
      <w:divBdr>
        <w:top w:val="none" w:sz="0" w:space="0" w:color="auto"/>
        <w:left w:val="none" w:sz="0" w:space="0" w:color="auto"/>
        <w:bottom w:val="none" w:sz="0" w:space="0" w:color="auto"/>
        <w:right w:val="none" w:sz="0" w:space="0" w:color="auto"/>
      </w:divBdr>
      <w:divsChild>
        <w:div w:id="169981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2021-09-30T02:55:00Z</dcterms:created>
  <dcterms:modified xsi:type="dcterms:W3CDTF">2021-09-30T02:56:00Z</dcterms:modified>
</cp:coreProperties>
</file>